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3E85" w14:textId="77777777" w:rsidR="00D652AF" w:rsidRPr="005B1EB7" w:rsidRDefault="00D652AF" w:rsidP="00D652AF">
      <w:pPr>
        <w:shd w:val="clear" w:color="auto" w:fill="FFFFFF" w:themeFill="background1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B1EB7">
        <w:rPr>
          <w:rFonts w:asciiTheme="minorHAnsi" w:hAnsiTheme="minorHAnsi" w:cstheme="minorHAnsi"/>
          <w:b/>
          <w:bCs/>
        </w:rPr>
        <w:t>UNA MONTAGNA DI DATI</w:t>
      </w:r>
    </w:p>
    <w:p w14:paraId="64B81642" w14:textId="77777777" w:rsidR="00D652AF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053ADDAF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3E572A23" w14:textId="77777777" w:rsidR="00D652AF" w:rsidRPr="00211A27" w:rsidRDefault="00D652AF" w:rsidP="00D652AF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ECONOMIA E LAVORO</w:t>
      </w:r>
    </w:p>
    <w:p w14:paraId="30F856F5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422CD177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In montagna viene generato </w:t>
      </w:r>
      <w:r>
        <w:rPr>
          <w:rFonts w:asciiTheme="minorHAnsi" w:eastAsiaTheme="minorHAnsi" w:hAnsiTheme="minorHAnsi" w:cstheme="minorHAnsi"/>
          <w:lang w:eastAsia="en-US"/>
        </w:rPr>
        <w:t xml:space="preserve">circa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l’8% del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valore aggiunto regionale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, dato è in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aumento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: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+ 24,8%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tra 2015 e 2019, a fronte del +14,7% come dato medio regionale.</w:t>
      </w:r>
    </w:p>
    <w:p w14:paraId="4C6CA19D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E80E6A3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>Nel 2020 il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valore </w:t>
      </w:r>
      <w:r w:rsidRPr="004C497A">
        <w:rPr>
          <w:rFonts w:asciiTheme="minorHAnsi" w:eastAsiaTheme="minorHAnsi" w:hAnsiTheme="minorHAnsi" w:cstheme="minorHAnsi"/>
          <w:b/>
          <w:bCs/>
          <w:lang w:eastAsia="en-US"/>
        </w:rPr>
        <w:t xml:space="preserve">aggiunto delle società di capitali </w:t>
      </w:r>
      <w:r w:rsidRPr="004C497A">
        <w:rPr>
          <w:rFonts w:asciiTheme="minorHAnsi" w:eastAsiaTheme="minorHAnsi" w:hAnsiTheme="minorHAnsi" w:cstheme="minorHAnsi"/>
          <w:lang w:eastAsia="en-US"/>
        </w:rPr>
        <w:t xml:space="preserve">della </w:t>
      </w:r>
      <w:r w:rsidRPr="00211A27">
        <w:rPr>
          <w:rFonts w:asciiTheme="minorHAnsi" w:eastAsiaTheme="minorHAnsi" w:hAnsiTheme="minorHAnsi" w:cstheme="minorHAnsi"/>
          <w:lang w:eastAsia="en-US"/>
        </w:rPr>
        <w:t>montagna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lang w:eastAsia="en-US"/>
        </w:rPr>
        <w:t>è cresciuto del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19,1% sul 2015</w:t>
      </w:r>
      <w:r w:rsidRPr="00211A27">
        <w:rPr>
          <w:rFonts w:asciiTheme="minorHAnsi" w:eastAsiaTheme="minorHAnsi" w:hAnsiTheme="minorHAnsi" w:cstheme="minorHAnsi"/>
          <w:lang w:eastAsia="en-US"/>
        </w:rPr>
        <w:t>, un valore molto superiore a quello dell’insieme delle società di capitale regionali (+9,6%).</w:t>
      </w:r>
    </w:p>
    <w:p w14:paraId="321CFCEB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D1F8709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>Il sistema produttivo occupa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142 mila addetti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(circa il 9% degli addetti regionali):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+6% tra 2016 e 2019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(+5,3% dato regionale).</w:t>
      </w:r>
    </w:p>
    <w:p w14:paraId="5D8C189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2976AA2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Le unità produttive locali sono </w:t>
      </w:r>
      <w:r w:rsidRPr="00EA303C">
        <w:rPr>
          <w:rFonts w:asciiTheme="minorHAnsi" w:eastAsiaTheme="minorHAnsi" w:hAnsiTheme="minorHAnsi" w:cstheme="minorHAnsi"/>
          <w:b/>
          <w:bCs/>
          <w:lang w:eastAsia="en-US"/>
        </w:rPr>
        <w:t>51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mila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e rappresentano circa l’11% delle unità locali di tutta la regione. </w:t>
      </w:r>
    </w:p>
    <w:p w14:paraId="65E2C1A2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472B5C90" w14:textId="4E569020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L’analisi dei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movimenti turistici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nel periodo </w:t>
      </w:r>
      <w:proofErr w:type="spellStart"/>
      <w:r w:rsidRPr="00211A27">
        <w:rPr>
          <w:rFonts w:asciiTheme="minorHAnsi" w:eastAsiaTheme="minorHAnsi" w:hAnsiTheme="minorHAnsi" w:cstheme="minorHAnsi"/>
          <w:lang w:eastAsia="en-US"/>
        </w:rPr>
        <w:t>pre</w:t>
      </w:r>
      <w:proofErr w:type="spellEnd"/>
      <w:r w:rsidRPr="00211A27">
        <w:rPr>
          <w:rFonts w:asciiTheme="minorHAnsi" w:eastAsiaTheme="minorHAnsi" w:hAnsiTheme="minorHAnsi" w:cstheme="minorHAnsi"/>
          <w:lang w:eastAsia="en-US"/>
        </w:rPr>
        <w:t>-pandemia mostra un</w:t>
      </w:r>
      <w:r w:rsidR="001B77FA">
        <w:rPr>
          <w:rFonts w:asciiTheme="minorHAnsi" w:eastAsiaTheme="minorHAnsi" w:hAnsiTheme="minorHAnsi" w:cstheme="minorHAnsi"/>
          <w:lang w:eastAsia="en-US"/>
        </w:rPr>
        <w:t xml:space="preserve">a tendenza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in crescita: </w:t>
      </w:r>
      <w:r>
        <w:rPr>
          <w:rFonts w:asciiTheme="minorHAnsi" w:eastAsiaTheme="minorHAnsi" w:hAnsiTheme="minorHAnsi" w:cstheme="minorHAnsi"/>
          <w:lang w:eastAsia="en-US"/>
        </w:rPr>
        <w:t>+</w:t>
      </w:r>
      <w:r w:rsidRPr="00211A27">
        <w:rPr>
          <w:rFonts w:asciiTheme="minorHAnsi" w:eastAsiaTheme="minorHAnsi" w:hAnsiTheme="minorHAnsi" w:cstheme="minorHAnsi"/>
          <w:lang w:eastAsia="en-US"/>
        </w:rPr>
        <w:t>16% nel 2019 rispetto al 2016 a fronte di un valore regionale del +7%.</w:t>
      </w:r>
    </w:p>
    <w:p w14:paraId="658ACBB0" w14:textId="77777777" w:rsidR="00D652AF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18B514CD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</w:rPr>
      </w:pPr>
    </w:p>
    <w:p w14:paraId="75EBCB98" w14:textId="77777777" w:rsidR="00D652AF" w:rsidRPr="00211A27" w:rsidRDefault="00D652AF" w:rsidP="00D652AF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211A27">
        <w:rPr>
          <w:rFonts w:asciiTheme="minorHAnsi" w:hAnsiTheme="minorHAnsi" w:cstheme="minorHAnsi"/>
          <w:b/>
          <w:bCs/>
        </w:rPr>
        <w:t xml:space="preserve">I SERVIZI PER I CITTADINI </w:t>
      </w:r>
    </w:p>
    <w:p w14:paraId="71EE7F3A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593BB65" w14:textId="77777777" w:rsidR="00D652AF" w:rsidRPr="00211A27" w:rsidRDefault="00D652AF" w:rsidP="00D652A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211A2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I servizi educativi e l’offerta scolastica</w:t>
      </w:r>
    </w:p>
    <w:p w14:paraId="6F88FE1C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u w:val="single"/>
          <w:lang w:eastAsia="en-US"/>
        </w:rPr>
      </w:pPr>
    </w:p>
    <w:p w14:paraId="7589720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>In montagna sono attivi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110 </w:t>
      </w:r>
      <w:r w:rsidRPr="00677128">
        <w:rPr>
          <w:rFonts w:asciiTheme="minorHAnsi" w:eastAsiaTheme="minorHAnsi" w:hAnsiTheme="minorHAnsi" w:cstheme="minorHAnsi"/>
          <w:b/>
          <w:bCs/>
          <w:lang w:eastAsia="en-US"/>
        </w:rPr>
        <w:t>nidi per l’infanzia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e 191 scuole per l’infanzia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34E777B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In totale si contano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370 scuole,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di cui 194 primarie, 122 scuole medie e 54 scuole superiori. </w:t>
      </w:r>
    </w:p>
    <w:p w14:paraId="2EE7875C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0340A7E5" w14:textId="77777777" w:rsidR="00D652AF" w:rsidRPr="00211A27" w:rsidRDefault="00D652AF" w:rsidP="00D652A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211A2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Le strutture culturali e ricreative</w:t>
      </w:r>
    </w:p>
    <w:p w14:paraId="6275BD0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9E0ADC6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Oltre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270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tra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musei, biblioteche, teatri e cinema. </w:t>
      </w:r>
    </w:p>
    <w:p w14:paraId="1B7770AE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Gli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impianti sportivi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sono 1.197. </w:t>
      </w:r>
    </w:p>
    <w:p w14:paraId="502A7E54" w14:textId="77777777" w:rsidR="00D652AF" w:rsidRPr="00211A27" w:rsidRDefault="00D652AF" w:rsidP="00D652AF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93D426C" w14:textId="77777777" w:rsidR="00D652AF" w:rsidRPr="00211A27" w:rsidRDefault="00D652AF" w:rsidP="00D652AF">
      <w:pPr>
        <w:pStyle w:val="Paragrafoelenco"/>
        <w:shd w:val="clear" w:color="auto" w:fill="FFFFFF" w:themeFill="background1"/>
        <w:tabs>
          <w:tab w:val="left" w:pos="219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u w:val="single"/>
        </w:rPr>
      </w:pPr>
      <w:r w:rsidRPr="00211A27">
        <w:rPr>
          <w:rFonts w:asciiTheme="minorHAnsi" w:hAnsiTheme="minorHAnsi" w:cstheme="minorHAnsi"/>
          <w:b/>
          <w:bCs/>
          <w:u w:val="single"/>
        </w:rPr>
        <w:t xml:space="preserve">I servizi sanitari, </w:t>
      </w:r>
      <w:proofErr w:type="gramStart"/>
      <w:r w:rsidRPr="00211A27">
        <w:rPr>
          <w:rFonts w:asciiTheme="minorHAnsi" w:hAnsiTheme="minorHAnsi" w:cstheme="minorHAnsi"/>
          <w:b/>
          <w:bCs/>
          <w:u w:val="single"/>
        </w:rPr>
        <w:t>socio-sanitari</w:t>
      </w:r>
      <w:proofErr w:type="gramEnd"/>
      <w:r w:rsidRPr="00211A27">
        <w:rPr>
          <w:rFonts w:asciiTheme="minorHAnsi" w:hAnsiTheme="minorHAnsi" w:cstheme="minorHAnsi"/>
          <w:b/>
          <w:bCs/>
          <w:u w:val="single"/>
        </w:rPr>
        <w:t xml:space="preserve"> e assistenziali</w:t>
      </w:r>
      <w:r w:rsidRPr="00211A27">
        <w:rPr>
          <w:rFonts w:asciiTheme="minorHAnsi" w:hAnsiTheme="minorHAnsi" w:cstheme="minorHAnsi"/>
          <w:b/>
          <w:bCs/>
          <w:u w:val="single"/>
        </w:rPr>
        <w:tab/>
      </w:r>
    </w:p>
    <w:p w14:paraId="0E29DDEA" w14:textId="77777777" w:rsidR="00D652AF" w:rsidRPr="00211A27" w:rsidRDefault="00D652AF" w:rsidP="00D652AF">
      <w:pPr>
        <w:shd w:val="clear" w:color="auto" w:fill="FFFFFF" w:themeFill="background1"/>
        <w:tabs>
          <w:tab w:val="left" w:pos="219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773301B7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Gli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ospedali in montagna sono 10.</w:t>
      </w:r>
    </w:p>
    <w:p w14:paraId="7AD5D405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A</w:t>
      </w:r>
      <w:r w:rsidRPr="00211A27">
        <w:rPr>
          <w:rFonts w:asciiTheme="minorHAnsi" w:eastAsiaTheme="minorHAnsi" w:hAnsiTheme="minorHAnsi" w:cstheme="minorHAnsi"/>
          <w:lang w:eastAsia="en-US"/>
        </w:rPr>
        <w:t>ttivi</w:t>
      </w:r>
      <w:r>
        <w:rPr>
          <w:rFonts w:asciiTheme="minorHAnsi" w:eastAsiaTheme="minorHAnsi" w:hAnsiTheme="minorHAnsi" w:cstheme="minorHAnsi"/>
          <w:lang w:eastAsia="en-US"/>
        </w:rPr>
        <w:t xml:space="preserve"> anche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</w:t>
      </w:r>
      <w:proofErr w:type="gramStart"/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10</w:t>
      </w:r>
      <w:proofErr w:type="gramEnd"/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Ospedali di Comunità </w:t>
      </w:r>
      <w:r w:rsidRPr="00211A27">
        <w:rPr>
          <w:rFonts w:asciiTheme="minorHAnsi" w:eastAsiaTheme="minorHAnsi" w:hAnsiTheme="minorHAnsi" w:cstheme="minorHAnsi"/>
          <w:lang w:eastAsia="en-US"/>
        </w:rPr>
        <w:t>(circa la metà di quelli attivi in regione)</w:t>
      </w:r>
      <w:r>
        <w:rPr>
          <w:rFonts w:asciiTheme="minorHAnsi" w:eastAsiaTheme="minorHAnsi" w:hAnsiTheme="minorHAnsi" w:cstheme="minorHAnsi"/>
          <w:lang w:eastAsia="en-US"/>
        </w:rPr>
        <w:t>.</w:t>
      </w:r>
    </w:p>
    <w:p w14:paraId="7833BE79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>Tra le strutture sanitarie ospedaliere anche un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Istituto di ricovero e cura a carattere scientifico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a titolarità privata a Meldola (FC),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5 case di cure e 3 hospice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per le cure palliative dei malati terminali.</w:t>
      </w:r>
    </w:p>
    <w:p w14:paraId="741F0F21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669469D6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>L’assistenza farmaceutica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è presente in tutta la montagna con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189 farmacie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, almeno una per ogni comune montano. Sono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390 i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medici di base 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>con almeno un ambulatorio in ogni comune montano.</w:t>
      </w:r>
    </w:p>
    <w:p w14:paraId="66AD1287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b/>
          <w:bCs/>
          <w:color w:val="FFFFFF"/>
          <w:lang w:eastAsia="en-US"/>
        </w:rPr>
        <w:t>+8 Case della Salute in 4 anni</w:t>
      </w:r>
    </w:p>
    <w:p w14:paraId="18ACB27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Fondamentale punto di riferimento per l’accesso dei cittadini alle cure sanitarie territoriali, le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Case della Salute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 sono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29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 (su un totale regionale di 127): </w:t>
      </w:r>
      <w:r w:rsidRPr="00211A27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+8 tra 2017 e 2021.</w:t>
      </w:r>
      <w:r w:rsidRPr="00211A27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</w:p>
    <w:p w14:paraId="34465405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09121BC9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Il servizio pubblico di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elisoccorso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, con l’abilitazione ai voli notturni, vede la presenza di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130 aree di atterraggio ricadenti in 88 comuni montani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(su 265</w:t>
      </w:r>
      <w:r>
        <w:rPr>
          <w:rFonts w:asciiTheme="minorHAnsi" w:eastAsiaTheme="minorHAnsi" w:hAnsiTheme="minorHAnsi" w:cstheme="minorHAnsi"/>
          <w:lang w:eastAsia="en-US"/>
        </w:rPr>
        <w:t xml:space="preserve"> aree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regionali): </w:t>
      </w:r>
      <w:r w:rsidRPr="00CE2D3A">
        <w:rPr>
          <w:rFonts w:asciiTheme="minorHAnsi" w:eastAsiaTheme="minorHAnsi" w:hAnsiTheme="minorHAnsi" w:cstheme="minorHAnsi"/>
          <w:b/>
          <w:bCs/>
          <w:lang w:eastAsia="en-US"/>
        </w:rPr>
        <w:t>+49 in 4 anni</w:t>
      </w:r>
      <w:r w:rsidRPr="00211A27">
        <w:rPr>
          <w:rFonts w:asciiTheme="minorHAnsi" w:eastAsiaTheme="minorHAnsi" w:hAnsiTheme="minorHAnsi" w:cstheme="minorHAnsi"/>
          <w:lang w:eastAsia="en-US"/>
        </w:rPr>
        <w:t>.</w:t>
      </w:r>
    </w:p>
    <w:p w14:paraId="16C0AAF0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86A8683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Sono più di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400 le strutture </w:t>
      </w:r>
      <w:proofErr w:type="gramStart"/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socio-assistenziali</w:t>
      </w:r>
      <w:proofErr w:type="gramEnd"/>
      <w:r w:rsidRPr="00211A27">
        <w:rPr>
          <w:rFonts w:asciiTheme="minorHAnsi" w:eastAsiaTheme="minorHAnsi" w:hAnsiTheme="minorHAnsi" w:cstheme="minorHAnsi"/>
          <w:lang w:eastAsia="en-US"/>
        </w:rPr>
        <w:t>: oltre 250 sono dedicate agli anziani; circa 70 offrono servizi per le persone disabili; 80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lang w:eastAsia="en-US"/>
        </w:rPr>
        <w:t>sono rivolte a minori. Si contano anche strutture per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lang w:eastAsia="en-US"/>
        </w:rPr>
        <w:t>multiutenza. Avviata la sperimentazione dell’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infermiere di comunità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per prestazioni domiciliari.</w:t>
      </w:r>
    </w:p>
    <w:p w14:paraId="29B73AD0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755814B4" w14:textId="77777777" w:rsidR="00D652AF" w:rsidRPr="00211A27" w:rsidRDefault="00D652AF" w:rsidP="00D652AF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HAnsi" w:hAnsiTheme="minorHAnsi" w:cstheme="minorHAnsi"/>
          <w:b/>
          <w:bCs/>
          <w:u w:val="single"/>
          <w:lang w:eastAsia="en-US"/>
        </w:rPr>
      </w:pPr>
      <w:r w:rsidRPr="00211A27">
        <w:rPr>
          <w:rFonts w:asciiTheme="minorHAnsi" w:eastAsiaTheme="minorHAnsi" w:hAnsiTheme="minorHAnsi" w:cstheme="minorHAnsi"/>
          <w:b/>
          <w:bCs/>
          <w:u w:val="single"/>
          <w:lang w:eastAsia="en-US"/>
        </w:rPr>
        <w:t>Mobilità e accessibilità digitale</w:t>
      </w:r>
    </w:p>
    <w:p w14:paraId="4F1F20BF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783813D4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Le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stazioni ferroviarie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sono presenti in </w:t>
      </w:r>
      <w:proofErr w:type="gramStart"/>
      <w:r w:rsidRPr="00211A27">
        <w:rPr>
          <w:rFonts w:asciiTheme="minorHAnsi" w:eastAsiaTheme="minorHAnsi" w:hAnsiTheme="minorHAnsi" w:cstheme="minorHAnsi"/>
          <w:lang w:eastAsia="en-US"/>
        </w:rPr>
        <w:t>10</w:t>
      </w:r>
      <w:proofErr w:type="gramEnd"/>
      <w:r w:rsidRPr="00211A27">
        <w:rPr>
          <w:rFonts w:asciiTheme="minorHAnsi" w:eastAsiaTheme="minorHAnsi" w:hAnsiTheme="minorHAnsi" w:cstheme="minorHAnsi"/>
          <w:lang w:eastAsia="en-US"/>
        </w:rPr>
        <w:t xml:space="preserve"> Comuni montani. La rete di collegamento è assicurata anche dal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trasporto pubblico su gomma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con circa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8mila fermate</w:t>
      </w:r>
      <w:r w:rsidRPr="00211A27">
        <w:rPr>
          <w:rFonts w:asciiTheme="minorHAnsi" w:eastAsiaTheme="minorHAnsi" w:hAnsiTheme="minorHAnsi" w:cstheme="minorHAnsi"/>
          <w:lang w:eastAsia="en-US"/>
        </w:rPr>
        <w:t>.</w:t>
      </w:r>
    </w:p>
    <w:p w14:paraId="1A5DA10E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4F86570" w14:textId="04371A43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Cresce la rete di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piste </w:t>
      </w:r>
      <w:r w:rsidR="00CC728A">
        <w:rPr>
          <w:rFonts w:asciiTheme="minorHAnsi" w:eastAsiaTheme="minorHAnsi" w:hAnsiTheme="minorHAnsi" w:cstheme="minorHAnsi"/>
          <w:b/>
          <w:bCs/>
          <w:lang w:eastAsia="en-US"/>
        </w:rPr>
        <w:t xml:space="preserve">e percorsi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ciclabili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: </w:t>
      </w:r>
      <w:r w:rsidRPr="00076890">
        <w:rPr>
          <w:rFonts w:asciiTheme="minorHAnsi" w:eastAsiaTheme="minorHAnsi" w:hAnsiTheme="minorHAnsi" w:cstheme="minorHAnsi"/>
          <w:b/>
          <w:bCs/>
          <w:lang w:eastAsia="en-US"/>
        </w:rPr>
        <w:t>+128%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nel periodo 2017-2021.</w:t>
      </w:r>
    </w:p>
    <w:p w14:paraId="18583AE1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Sono 74 le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colonnine di ricarica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per i veicoli elettrici.</w:t>
      </w:r>
    </w:p>
    <w:p w14:paraId="0BD77E44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6513B6D7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>A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marzo 2022 tutti i </w:t>
      </w:r>
      <w:r w:rsidRPr="007D7197">
        <w:rPr>
          <w:rFonts w:asciiTheme="minorHAnsi" w:eastAsiaTheme="minorHAnsi" w:hAnsiTheme="minorHAnsi" w:cstheme="minorHAnsi"/>
          <w:b/>
          <w:bCs/>
          <w:lang w:eastAsia="en-US"/>
        </w:rPr>
        <w:t xml:space="preserve">Municipi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montani risultano connessi in banda ultra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larga.</w:t>
      </w:r>
    </w:p>
    <w:p w14:paraId="405A4287" w14:textId="77777777" w:rsidR="00D652AF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</w:p>
    <w:p w14:paraId="61B70883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A fine 2021 si contano 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78 aree produttive connesse in banda ultra</w:t>
      </w:r>
      <w:r>
        <w:rPr>
          <w:rFonts w:asciiTheme="minorHAnsi" w:eastAsiaTheme="minorHAnsi" w:hAnsiTheme="minorHAnsi" w:cstheme="minorHAnsi"/>
          <w:b/>
          <w:bCs/>
          <w:lang w:eastAsia="en-US"/>
        </w:rPr>
        <w:t>-</w:t>
      </w:r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 xml:space="preserve">larga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(su 110 complessivamente identificate, pari al 71%). </w:t>
      </w:r>
    </w:p>
    <w:p w14:paraId="45CE70C4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1BC8ED9E" w14:textId="77777777" w:rsidR="00D652AF" w:rsidRPr="0000783C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00783C">
        <w:rPr>
          <w:rFonts w:asciiTheme="minorHAnsi" w:eastAsiaTheme="minorHAnsi" w:hAnsiTheme="minorHAnsi" w:cstheme="minorHAnsi"/>
          <w:lang w:eastAsia="en-US"/>
        </w:rPr>
        <w:t xml:space="preserve">A fine 2021 la percentuale di </w:t>
      </w:r>
      <w:r w:rsidRPr="0000783C">
        <w:rPr>
          <w:rFonts w:asciiTheme="minorHAnsi" w:eastAsiaTheme="minorHAnsi" w:hAnsiTheme="minorHAnsi" w:cstheme="minorHAnsi"/>
          <w:b/>
          <w:bCs/>
          <w:lang w:eastAsia="en-US"/>
        </w:rPr>
        <w:t>plessi/edifici scolastici</w:t>
      </w:r>
      <w:r w:rsidRPr="0000783C">
        <w:rPr>
          <w:rFonts w:asciiTheme="minorHAnsi" w:eastAsiaTheme="minorHAnsi" w:hAnsiTheme="minorHAnsi" w:cstheme="minorHAnsi"/>
          <w:lang w:eastAsia="en-US"/>
        </w:rPr>
        <w:t xml:space="preserve"> raggiunti da fibra ottica fornita da Lepida (1 Gbps), è pari al 38%. Dei 584 plessi, </w:t>
      </w:r>
      <w:r w:rsidRPr="0000783C">
        <w:rPr>
          <w:rFonts w:asciiTheme="minorHAnsi" w:eastAsiaTheme="minorHAnsi" w:hAnsiTheme="minorHAnsi" w:cstheme="minorHAnsi"/>
          <w:b/>
          <w:bCs/>
          <w:lang w:eastAsia="en-US"/>
        </w:rPr>
        <w:t>219 sono connessi in BUL (1Gbps)</w:t>
      </w:r>
      <w:r w:rsidRPr="0000783C">
        <w:rPr>
          <w:rFonts w:asciiTheme="minorHAnsi" w:eastAsiaTheme="minorHAnsi" w:hAnsiTheme="minorHAnsi" w:cstheme="minorHAnsi"/>
          <w:lang w:eastAsia="en-US"/>
        </w:rPr>
        <w:t xml:space="preserve">. L’obiettivo di Lepida è la connessione di tutte le scuole della regione entro la fine del 2022.  </w:t>
      </w:r>
    </w:p>
    <w:p w14:paraId="065074C8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</w:p>
    <w:p w14:paraId="579CE0D7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211A27">
        <w:rPr>
          <w:rFonts w:asciiTheme="minorHAnsi" w:eastAsiaTheme="minorHAnsi" w:hAnsiTheme="minorHAnsi" w:cstheme="minorHAnsi"/>
          <w:lang w:eastAsia="en-US"/>
        </w:rPr>
        <w:t xml:space="preserve">Gli access point totali della rete regionale </w:t>
      </w:r>
      <w:proofErr w:type="spellStart"/>
      <w:r w:rsidRPr="00211A27">
        <w:rPr>
          <w:rFonts w:asciiTheme="minorHAnsi" w:eastAsiaTheme="minorHAnsi" w:hAnsiTheme="minorHAnsi" w:cstheme="minorHAnsi"/>
          <w:b/>
          <w:bCs/>
          <w:lang w:eastAsia="en-US"/>
        </w:rPr>
        <w:t>EmiliaRomagnaWif</w:t>
      </w:r>
      <w:r w:rsidRPr="00211A27">
        <w:rPr>
          <w:rFonts w:asciiTheme="minorHAnsi" w:eastAsiaTheme="minorHAnsi" w:hAnsiTheme="minorHAnsi" w:cstheme="minorHAnsi"/>
          <w:lang w:eastAsia="en-US"/>
        </w:rPr>
        <w:t>i</w:t>
      </w:r>
      <w:proofErr w:type="spellEnd"/>
      <w:r w:rsidRPr="00211A27">
        <w:rPr>
          <w:rFonts w:asciiTheme="minorHAnsi" w:eastAsiaTheme="minorHAnsi" w:hAnsiTheme="minorHAnsi" w:cstheme="minorHAnsi"/>
          <w:lang w:eastAsia="en-US"/>
        </w:rPr>
        <w:t xml:space="preserve"> nei comuni montani sono passati da 920 a </w:t>
      </w:r>
      <w:r w:rsidRPr="00DC3FAA">
        <w:rPr>
          <w:rFonts w:asciiTheme="minorHAnsi" w:eastAsiaTheme="minorHAnsi" w:hAnsiTheme="minorHAnsi" w:cstheme="minorHAnsi"/>
          <w:b/>
          <w:bCs/>
          <w:lang w:eastAsia="en-US"/>
        </w:rPr>
        <w:t>1.041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tra </w:t>
      </w:r>
      <w:r w:rsidRPr="00211A27">
        <w:rPr>
          <w:rFonts w:asciiTheme="minorHAnsi" w:eastAsiaTheme="minorHAnsi" w:hAnsiTheme="minorHAnsi" w:cstheme="minorHAnsi"/>
          <w:lang w:eastAsia="en-US"/>
        </w:rPr>
        <w:t>2019</w:t>
      </w:r>
      <w:r>
        <w:rPr>
          <w:rFonts w:asciiTheme="minorHAnsi" w:eastAsiaTheme="minorHAnsi" w:hAnsiTheme="minorHAnsi" w:cstheme="minorHAnsi"/>
          <w:lang w:eastAsia="en-US"/>
        </w:rPr>
        <w:t xml:space="preserve"> e </w:t>
      </w:r>
      <w:r w:rsidRPr="00211A27">
        <w:rPr>
          <w:rFonts w:asciiTheme="minorHAnsi" w:eastAsiaTheme="minorHAnsi" w:hAnsiTheme="minorHAnsi" w:cstheme="minorHAnsi"/>
          <w:lang w:eastAsia="en-US"/>
        </w:rPr>
        <w:t xml:space="preserve">2021. </w:t>
      </w:r>
    </w:p>
    <w:p w14:paraId="386A7D2F" w14:textId="77777777" w:rsidR="00D652AF" w:rsidRPr="00211A27" w:rsidRDefault="00D652AF" w:rsidP="00D652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39365CF8" w14:textId="77777777" w:rsidR="00AE65E4" w:rsidRDefault="00AE65E4"/>
    <w:sectPr w:rsidR="00AE6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75AB"/>
    <w:multiLevelType w:val="hybridMultilevel"/>
    <w:tmpl w:val="5B740C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771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2AF"/>
    <w:rsid w:val="001B77FA"/>
    <w:rsid w:val="00AE65E4"/>
    <w:rsid w:val="00CC728A"/>
    <w:rsid w:val="00D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36BC"/>
  <w15:chartTrackingRefBased/>
  <w15:docId w15:val="{35157E47-1C33-4678-87B9-C112AC1D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52AF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Pace Giuseppe</cp:lastModifiedBy>
  <cp:revision>3</cp:revision>
  <dcterms:created xsi:type="dcterms:W3CDTF">2022-07-06T15:12:00Z</dcterms:created>
  <dcterms:modified xsi:type="dcterms:W3CDTF">2022-07-08T11:08:00Z</dcterms:modified>
</cp:coreProperties>
</file>